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49C4" w14:textId="77777777" w:rsidR="00A40AA3" w:rsidRPr="005A2E72" w:rsidRDefault="00A40AA3" w:rsidP="00A40AA3">
      <w:pPr>
        <w:widowControl w:val="0"/>
        <w:spacing w:before="80" w:after="100"/>
        <w:ind w:firstLine="709"/>
        <w:jc w:val="both"/>
        <w:outlineLvl w:val="1"/>
        <w:rPr>
          <w:rFonts w:eastAsia="Times New Roman"/>
          <w:b/>
          <w:bCs/>
          <w:iCs/>
          <w:color w:val="FF0000"/>
          <w:sz w:val="28"/>
          <w:szCs w:val="26"/>
          <w:lang w:val="pt-BR"/>
        </w:rPr>
      </w:pPr>
      <w:r w:rsidRPr="005A2E72">
        <w:rPr>
          <w:rFonts w:eastAsia="Times New Roman"/>
          <w:b/>
          <w:bCs/>
          <w:iCs/>
          <w:color w:val="FF0000"/>
          <w:sz w:val="28"/>
          <w:szCs w:val="26"/>
        </w:rPr>
        <w:t>2. Cấp Giấy chứng nhận An toàn kỹ thuật và Bảo vệ môi trường phương tiện thuỷ nội địa</w:t>
      </w:r>
    </w:p>
    <w:p w14:paraId="54659235" w14:textId="77777777" w:rsidR="00A40AA3" w:rsidRPr="002563E3" w:rsidRDefault="00A40AA3" w:rsidP="00A40AA3">
      <w:pPr>
        <w:widowControl w:val="0"/>
        <w:autoSpaceDE w:val="0"/>
        <w:autoSpaceDN w:val="0"/>
        <w:adjustRightInd w:val="0"/>
        <w:spacing w:before="80" w:after="120"/>
        <w:ind w:firstLine="709"/>
        <w:jc w:val="both"/>
        <w:rPr>
          <w:b/>
          <w:bCs/>
          <w:color w:val="000000"/>
          <w:sz w:val="26"/>
          <w:szCs w:val="26"/>
        </w:rPr>
      </w:pPr>
      <w:r w:rsidRPr="002563E3">
        <w:rPr>
          <w:b/>
          <w:bCs/>
          <w:color w:val="000000"/>
          <w:sz w:val="26"/>
          <w:szCs w:val="26"/>
        </w:rPr>
        <w:t xml:space="preserve">2.1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A40AA3" w:rsidRPr="002563E3" w14:paraId="3BE814EC"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A6E953"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951E879"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Trình tự</w:t>
            </w:r>
            <w:r w:rsidRPr="002563E3">
              <w:rPr>
                <w:rFonts w:eastAsia="Calibri"/>
                <w:b/>
                <w:color w:val="000000"/>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6504333"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02EBBD1"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Thời gian</w:t>
            </w:r>
            <w:r w:rsidRPr="002563E3">
              <w:rPr>
                <w:rFonts w:eastAsia="Calibri"/>
                <w:b/>
                <w:color w:val="000000"/>
                <w:sz w:val="26"/>
                <w:szCs w:val="26"/>
              </w:rPr>
              <w:br/>
              <w:t>giải quyết</w:t>
            </w:r>
          </w:p>
        </w:tc>
      </w:tr>
      <w:tr w:rsidR="00A40AA3" w:rsidRPr="002563E3" w14:paraId="2CFA0980" w14:textId="77777777" w:rsidTr="008A16B8">
        <w:trPr>
          <w:trHeight w:val="898"/>
          <w:jc w:val="center"/>
        </w:trPr>
        <w:tc>
          <w:tcPr>
            <w:tcW w:w="851" w:type="dxa"/>
            <w:vMerge w:val="restart"/>
            <w:tcBorders>
              <w:top w:val="single" w:sz="4" w:space="0" w:color="auto"/>
            </w:tcBorders>
            <w:shd w:val="clear" w:color="auto" w:fill="auto"/>
            <w:vAlign w:val="center"/>
          </w:tcPr>
          <w:p w14:paraId="51776CF6"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Bước 1</w:t>
            </w:r>
          </w:p>
        </w:tc>
        <w:tc>
          <w:tcPr>
            <w:tcW w:w="1951" w:type="dxa"/>
            <w:vMerge w:val="restart"/>
            <w:tcBorders>
              <w:top w:val="single" w:sz="4" w:space="0" w:color="auto"/>
            </w:tcBorders>
            <w:shd w:val="clear" w:color="auto" w:fill="auto"/>
            <w:vAlign w:val="center"/>
          </w:tcPr>
          <w:p w14:paraId="6D9C014A" w14:textId="77777777" w:rsidR="00A40AA3" w:rsidRPr="002563E3" w:rsidRDefault="00A40AA3" w:rsidP="008A16B8">
            <w:pPr>
              <w:shd w:val="clear" w:color="auto" w:fill="FFFFFF"/>
              <w:spacing w:before="60" w:after="60"/>
              <w:jc w:val="center"/>
              <w:rPr>
                <w:rFonts w:eastAsia="Calibri"/>
                <w:b/>
                <w:color w:val="000000"/>
                <w:sz w:val="26"/>
                <w:szCs w:val="26"/>
              </w:rPr>
            </w:pPr>
            <w:r w:rsidRPr="002563E3">
              <w:rPr>
                <w:rFonts w:eastAsia="Calibri"/>
                <w:b/>
                <w:color w:val="000000"/>
                <w:sz w:val="26"/>
                <w:szCs w:val="26"/>
              </w:rPr>
              <w:t>Nộp hồ sơ thủ tục hành chính</w:t>
            </w:r>
          </w:p>
        </w:tc>
        <w:tc>
          <w:tcPr>
            <w:tcW w:w="5829" w:type="dxa"/>
            <w:tcBorders>
              <w:top w:val="single" w:sz="4" w:space="0" w:color="auto"/>
            </w:tcBorders>
            <w:shd w:val="clear" w:color="auto" w:fill="auto"/>
            <w:vAlign w:val="center"/>
          </w:tcPr>
          <w:p w14:paraId="14EA719E" w14:textId="77777777" w:rsidR="00A40AA3" w:rsidRPr="002563E3" w:rsidRDefault="00A40AA3" w:rsidP="008A16B8">
            <w:pPr>
              <w:shd w:val="clear" w:color="auto" w:fill="FFFFFF"/>
              <w:spacing w:before="60" w:after="60"/>
              <w:jc w:val="both"/>
              <w:rPr>
                <w:rFonts w:eastAsia="Calibri"/>
                <w:color w:val="000000"/>
                <w:sz w:val="26"/>
                <w:szCs w:val="26"/>
              </w:rPr>
            </w:pPr>
            <w:r w:rsidRPr="002563E3">
              <w:rPr>
                <w:rFonts w:eastAsia="Calibri"/>
                <w:color w:val="000000"/>
                <w:sz w:val="26"/>
                <w:szCs w:val="26"/>
              </w:rPr>
              <w:t>Tổ chức, cá nhân chuẩn bị hồ sơ đầy đủ theo quy định và nộp hồ sơ qua các cách thức sau:</w:t>
            </w:r>
          </w:p>
        </w:tc>
        <w:tc>
          <w:tcPr>
            <w:tcW w:w="1926" w:type="dxa"/>
            <w:tcBorders>
              <w:top w:val="single" w:sz="4" w:space="0" w:color="auto"/>
            </w:tcBorders>
            <w:shd w:val="clear" w:color="auto" w:fill="auto"/>
            <w:vAlign w:val="center"/>
          </w:tcPr>
          <w:p w14:paraId="01156616" w14:textId="77777777" w:rsidR="00A40AA3" w:rsidRPr="002563E3" w:rsidRDefault="00A40AA3" w:rsidP="008A16B8">
            <w:pPr>
              <w:spacing w:before="60" w:after="60"/>
              <w:jc w:val="both"/>
              <w:rPr>
                <w:rFonts w:eastAsia="Calibri"/>
                <w:color w:val="000000"/>
                <w:sz w:val="26"/>
                <w:szCs w:val="26"/>
              </w:rPr>
            </w:pPr>
          </w:p>
        </w:tc>
      </w:tr>
      <w:tr w:rsidR="00A40AA3" w:rsidRPr="002563E3" w14:paraId="2E6E4CBF" w14:textId="77777777" w:rsidTr="008A16B8">
        <w:trPr>
          <w:trHeight w:val="4128"/>
          <w:jc w:val="center"/>
        </w:trPr>
        <w:tc>
          <w:tcPr>
            <w:tcW w:w="851" w:type="dxa"/>
            <w:vMerge/>
            <w:shd w:val="clear" w:color="auto" w:fill="auto"/>
            <w:vAlign w:val="center"/>
          </w:tcPr>
          <w:p w14:paraId="0F4B2D20" w14:textId="77777777" w:rsidR="00A40AA3" w:rsidRPr="002563E3" w:rsidRDefault="00A40AA3" w:rsidP="008A16B8">
            <w:pPr>
              <w:spacing w:before="60" w:after="60"/>
              <w:jc w:val="center"/>
              <w:rPr>
                <w:rFonts w:eastAsia="Calibri"/>
                <w:b/>
                <w:color w:val="000000"/>
                <w:sz w:val="26"/>
                <w:szCs w:val="26"/>
              </w:rPr>
            </w:pPr>
          </w:p>
        </w:tc>
        <w:tc>
          <w:tcPr>
            <w:tcW w:w="1951" w:type="dxa"/>
            <w:vMerge/>
            <w:shd w:val="clear" w:color="auto" w:fill="auto"/>
            <w:vAlign w:val="center"/>
          </w:tcPr>
          <w:p w14:paraId="520ED763" w14:textId="77777777" w:rsidR="00A40AA3" w:rsidRPr="002563E3" w:rsidRDefault="00A40AA3" w:rsidP="008A16B8">
            <w:pPr>
              <w:shd w:val="clear" w:color="auto" w:fill="FFFFFF"/>
              <w:spacing w:before="60" w:after="60"/>
              <w:jc w:val="center"/>
              <w:rPr>
                <w:rFonts w:eastAsia="Calibri"/>
                <w:color w:val="000000"/>
                <w:sz w:val="26"/>
                <w:szCs w:val="26"/>
              </w:rPr>
            </w:pPr>
          </w:p>
        </w:tc>
        <w:tc>
          <w:tcPr>
            <w:tcW w:w="5829" w:type="dxa"/>
            <w:tcBorders>
              <w:top w:val="single" w:sz="4" w:space="0" w:color="auto"/>
            </w:tcBorders>
            <w:shd w:val="clear" w:color="auto" w:fill="auto"/>
            <w:vAlign w:val="center"/>
          </w:tcPr>
          <w:p w14:paraId="1E69E059" w14:textId="77777777" w:rsidR="00A40AA3" w:rsidRPr="002563E3" w:rsidRDefault="00A40AA3" w:rsidP="008A16B8">
            <w:pPr>
              <w:shd w:val="clear" w:color="auto" w:fill="FFFFFF"/>
              <w:spacing w:before="60" w:after="60"/>
              <w:ind w:firstLine="101"/>
              <w:jc w:val="both"/>
              <w:rPr>
                <w:rFonts w:eastAsia="Calibri"/>
                <w:color w:val="000000"/>
                <w:sz w:val="26"/>
                <w:szCs w:val="26"/>
              </w:rPr>
            </w:pPr>
            <w:r w:rsidRPr="002563E3">
              <w:rPr>
                <w:rFonts w:eastAsia="Calibri"/>
                <w:color w:val="000000"/>
                <w:sz w:val="26"/>
                <w:szCs w:val="26"/>
              </w:rPr>
              <w:t>Nộp hồ sơ đăng ký kiểm định trực tiếp, gọi điện thoại hoặc bằng đường bưu chính tại Bộ phận tiếp nhận hồ sơ và trả kết quả của Trung tâm Đăng kiểm phương tiên cơ giới thủy, bộ; nộp phí kiểm định; nhận số thứ tự thực hiện kiểm định xe (nếu có) (số 386, đường Điện Biên Phủ, xã Mỹ Trà, thành phố Cao Lãnh, tỉnh Đồng Tháp).</w:t>
            </w:r>
          </w:p>
        </w:tc>
        <w:tc>
          <w:tcPr>
            <w:tcW w:w="1926" w:type="dxa"/>
            <w:tcBorders>
              <w:top w:val="single" w:sz="4" w:space="0" w:color="auto"/>
            </w:tcBorders>
            <w:shd w:val="clear" w:color="auto" w:fill="auto"/>
            <w:vAlign w:val="center"/>
          </w:tcPr>
          <w:p w14:paraId="5ED07D5D"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7F663A1D"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0FD068DE"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4953C9B7"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Thứ 7 làm việc buổi sáng</w:t>
            </w:r>
          </w:p>
        </w:tc>
      </w:tr>
      <w:tr w:rsidR="00A40AA3" w:rsidRPr="002563E3" w14:paraId="7C0AD89D" w14:textId="77777777" w:rsidTr="008A16B8">
        <w:trPr>
          <w:trHeight w:val="600"/>
          <w:jc w:val="center"/>
        </w:trPr>
        <w:tc>
          <w:tcPr>
            <w:tcW w:w="851" w:type="dxa"/>
            <w:shd w:val="clear" w:color="auto" w:fill="auto"/>
            <w:vAlign w:val="center"/>
          </w:tcPr>
          <w:p w14:paraId="5882F801" w14:textId="77777777" w:rsidR="00A40AA3" w:rsidRPr="002563E3" w:rsidRDefault="00A40AA3" w:rsidP="008A16B8">
            <w:pPr>
              <w:spacing w:before="60" w:after="60"/>
              <w:jc w:val="center"/>
              <w:rPr>
                <w:b/>
                <w:sz w:val="26"/>
                <w:szCs w:val="26"/>
              </w:rPr>
            </w:pPr>
            <w:r w:rsidRPr="002563E3">
              <w:rPr>
                <w:b/>
                <w:sz w:val="26"/>
                <w:szCs w:val="26"/>
              </w:rPr>
              <w:t>Bước 2</w:t>
            </w:r>
          </w:p>
        </w:tc>
        <w:tc>
          <w:tcPr>
            <w:tcW w:w="1951" w:type="dxa"/>
            <w:shd w:val="clear" w:color="auto" w:fill="auto"/>
            <w:vAlign w:val="center"/>
          </w:tcPr>
          <w:p w14:paraId="3371162E" w14:textId="77777777" w:rsidR="00A40AA3" w:rsidRPr="002563E3" w:rsidRDefault="00A40AA3" w:rsidP="008A16B8">
            <w:pPr>
              <w:spacing w:before="60" w:after="60"/>
              <w:jc w:val="center"/>
              <w:rPr>
                <w:b/>
                <w:sz w:val="26"/>
                <w:szCs w:val="26"/>
              </w:rPr>
            </w:pPr>
            <w:r w:rsidRPr="002563E3">
              <w:rPr>
                <w:b/>
                <w:sz w:val="26"/>
                <w:szCs w:val="26"/>
              </w:rPr>
              <w:t>Tiếp nhận hồ sơ thủ tục hành chính</w:t>
            </w:r>
          </w:p>
        </w:tc>
        <w:tc>
          <w:tcPr>
            <w:tcW w:w="5829" w:type="dxa"/>
            <w:shd w:val="clear" w:color="auto" w:fill="auto"/>
          </w:tcPr>
          <w:p w14:paraId="146CB80F" w14:textId="77777777" w:rsidR="00A40AA3" w:rsidRPr="002563E3" w:rsidRDefault="00A40AA3" w:rsidP="008A16B8">
            <w:pPr>
              <w:spacing w:before="60" w:after="60"/>
              <w:ind w:firstLine="101"/>
              <w:jc w:val="both"/>
              <w:rPr>
                <w:sz w:val="26"/>
                <w:szCs w:val="26"/>
              </w:rPr>
            </w:pPr>
            <w:r w:rsidRPr="002563E3">
              <w:rPr>
                <w:sz w:val="26"/>
                <w:szCs w:val="26"/>
              </w:rPr>
              <w:t>Nhân viên nghiệp vụ được phân công kiểm tra thành phần hồ sơ:</w:t>
            </w:r>
          </w:p>
          <w:p w14:paraId="29DDC6A8" w14:textId="77777777" w:rsidR="00A40AA3" w:rsidRPr="002563E3" w:rsidRDefault="00A40AA3" w:rsidP="008A16B8">
            <w:pPr>
              <w:spacing w:before="60" w:after="60"/>
              <w:ind w:firstLine="101"/>
              <w:jc w:val="both"/>
              <w:rPr>
                <w:sz w:val="26"/>
                <w:szCs w:val="26"/>
              </w:rPr>
            </w:pPr>
            <w:r w:rsidRPr="002563E3">
              <w:rPr>
                <w:sz w:val="26"/>
                <w:szCs w:val="26"/>
              </w:rPr>
              <w:t>- Nếu hồ sơ không đầy đủ thì hướng dẫn khách hàng bổ sung, hoàn thiện hồ sơ.</w:t>
            </w:r>
          </w:p>
          <w:p w14:paraId="3C1ADF24" w14:textId="77777777" w:rsidR="00A40AA3" w:rsidRPr="002563E3" w:rsidRDefault="00A40AA3" w:rsidP="008A16B8">
            <w:pPr>
              <w:spacing w:before="60" w:after="60"/>
              <w:ind w:firstLine="101"/>
              <w:jc w:val="both"/>
              <w:rPr>
                <w:sz w:val="26"/>
                <w:szCs w:val="26"/>
              </w:rPr>
            </w:pPr>
            <w:r w:rsidRPr="002563E3">
              <w:rPr>
                <w:sz w:val="26"/>
                <w:szCs w:val="26"/>
              </w:rPr>
              <w:t>- Nếu hồ sơ đầy đủ thì báo cáo Ban Giám đốc về thời gian và phân công nhân sự để kiểm định.</w:t>
            </w:r>
          </w:p>
          <w:p w14:paraId="6DEF4630" w14:textId="77777777" w:rsidR="00A40AA3" w:rsidRPr="002563E3" w:rsidRDefault="00A40AA3" w:rsidP="008A16B8">
            <w:pPr>
              <w:spacing w:before="60" w:after="60"/>
              <w:ind w:firstLine="101"/>
              <w:jc w:val="both"/>
              <w:rPr>
                <w:sz w:val="26"/>
                <w:szCs w:val="26"/>
              </w:rPr>
            </w:pPr>
            <w:r w:rsidRPr="002563E3">
              <w:rPr>
                <w:sz w:val="26"/>
                <w:szCs w:val="26"/>
              </w:rPr>
              <w:t>Nhân viên nghiệp vụ thông báo khách hàng phí, lệ phí  kiểm định và thống nhất thời gian và địa điểm kiểm tra phương tiện.</w:t>
            </w:r>
          </w:p>
        </w:tc>
        <w:tc>
          <w:tcPr>
            <w:tcW w:w="1926" w:type="dxa"/>
            <w:shd w:val="clear" w:color="auto" w:fill="auto"/>
            <w:vAlign w:val="center"/>
          </w:tcPr>
          <w:p w14:paraId="0F647EAD" w14:textId="77777777" w:rsidR="00A40AA3" w:rsidRPr="002563E3" w:rsidRDefault="00A40AA3" w:rsidP="008A16B8">
            <w:pPr>
              <w:spacing w:before="60" w:after="60"/>
              <w:ind w:firstLine="84"/>
              <w:jc w:val="both"/>
              <w:rPr>
                <w:sz w:val="26"/>
                <w:szCs w:val="26"/>
              </w:rPr>
            </w:pPr>
            <w:r w:rsidRPr="002563E3">
              <w:rPr>
                <w:sz w:val="26"/>
                <w:szCs w:val="26"/>
              </w:rPr>
              <w:t>Trực tiếp: ngay khi giải quyết hồ sơ</w:t>
            </w:r>
          </w:p>
          <w:p w14:paraId="1D5C613B" w14:textId="77777777" w:rsidR="00A40AA3" w:rsidRPr="002563E3" w:rsidRDefault="00A40AA3" w:rsidP="008A16B8">
            <w:pPr>
              <w:spacing w:before="60" w:after="60"/>
              <w:ind w:firstLine="84"/>
              <w:jc w:val="both"/>
              <w:rPr>
                <w:sz w:val="26"/>
                <w:szCs w:val="26"/>
              </w:rPr>
            </w:pPr>
            <w:r w:rsidRPr="002563E3">
              <w:rPr>
                <w:sz w:val="26"/>
                <w:szCs w:val="26"/>
              </w:rPr>
              <w:t>Bưu chính: 02 ngày làm việc</w:t>
            </w:r>
          </w:p>
        </w:tc>
      </w:tr>
      <w:tr w:rsidR="00A40AA3" w:rsidRPr="002563E3" w14:paraId="74810307" w14:textId="77777777" w:rsidTr="008A16B8">
        <w:trPr>
          <w:trHeight w:val="600"/>
          <w:jc w:val="center"/>
        </w:trPr>
        <w:tc>
          <w:tcPr>
            <w:tcW w:w="851" w:type="dxa"/>
            <w:shd w:val="clear" w:color="auto" w:fill="auto"/>
            <w:vAlign w:val="center"/>
          </w:tcPr>
          <w:p w14:paraId="47250A7A"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Bước 3</w:t>
            </w:r>
          </w:p>
        </w:tc>
        <w:tc>
          <w:tcPr>
            <w:tcW w:w="1951" w:type="dxa"/>
            <w:shd w:val="clear" w:color="auto" w:fill="auto"/>
            <w:vAlign w:val="center"/>
          </w:tcPr>
          <w:p w14:paraId="730FC581" w14:textId="77777777" w:rsidR="00A40AA3" w:rsidRPr="002563E3" w:rsidRDefault="00A40AA3" w:rsidP="008A16B8">
            <w:pPr>
              <w:spacing w:before="60" w:after="60"/>
              <w:jc w:val="center"/>
              <w:rPr>
                <w:rFonts w:eastAsia="Calibri"/>
                <w:b/>
                <w:color w:val="000000"/>
                <w:sz w:val="26"/>
                <w:szCs w:val="26"/>
              </w:rPr>
            </w:pPr>
            <w:r w:rsidRPr="002563E3">
              <w:rPr>
                <w:rFonts w:eastAsia="Calibri"/>
                <w:b/>
                <w:bCs/>
                <w:color w:val="000000"/>
                <w:sz w:val="28"/>
                <w:szCs w:val="26"/>
              </w:rPr>
              <w:t>Giải quyết thủ tục hành chính</w:t>
            </w:r>
          </w:p>
        </w:tc>
        <w:tc>
          <w:tcPr>
            <w:tcW w:w="5829" w:type="dxa"/>
            <w:shd w:val="clear" w:color="auto" w:fill="auto"/>
            <w:vAlign w:val="center"/>
          </w:tcPr>
          <w:p w14:paraId="3F18E83D" w14:textId="77777777" w:rsidR="00A40AA3" w:rsidRPr="002563E3" w:rsidRDefault="00A40AA3" w:rsidP="008A16B8">
            <w:pPr>
              <w:spacing w:before="60" w:after="60"/>
              <w:ind w:firstLine="101"/>
              <w:jc w:val="both"/>
              <w:rPr>
                <w:sz w:val="26"/>
                <w:szCs w:val="26"/>
              </w:rPr>
            </w:pPr>
            <w:r w:rsidRPr="002563E3">
              <w:rPr>
                <w:sz w:val="26"/>
                <w:szCs w:val="26"/>
              </w:rPr>
              <w:t>Đăng kiểm viên đi thực tế kiểm tra, đánh giá chất lượng kỹ thuật phương tiện và lập biên bản kiểm tra kỹ thuật có chủ phương tiện cùng xác nhận.</w:t>
            </w:r>
          </w:p>
          <w:p w14:paraId="39924819" w14:textId="77777777" w:rsidR="00A40AA3" w:rsidRPr="002563E3" w:rsidRDefault="00A40AA3" w:rsidP="008A16B8">
            <w:pPr>
              <w:spacing w:before="120" w:after="120"/>
              <w:ind w:firstLine="101"/>
              <w:jc w:val="both"/>
              <w:rPr>
                <w:sz w:val="26"/>
                <w:szCs w:val="26"/>
              </w:rPr>
            </w:pPr>
            <w:r w:rsidRPr="002563E3">
              <w:rPr>
                <w:sz w:val="26"/>
                <w:szCs w:val="26"/>
              </w:rPr>
              <w:t>- Nếu kết quả kiểm tra phương tiện không đạt, Đăng kiểm viên thông báo bằng văn bản cho tổ chức, cá nhân biết để sửa chữa. Sau khi phương tiện được sửa chữa, cá nhân, tổ chức thực hiện lại</w:t>
            </w:r>
          </w:p>
          <w:p w14:paraId="3BE4BC0D" w14:textId="77777777" w:rsidR="00A40AA3" w:rsidRPr="002563E3" w:rsidRDefault="00A40AA3" w:rsidP="008A16B8">
            <w:pPr>
              <w:spacing w:before="60" w:after="60"/>
              <w:ind w:firstLine="101"/>
              <w:jc w:val="both"/>
              <w:rPr>
                <w:rFonts w:eastAsia="Calibri"/>
                <w:color w:val="000000"/>
                <w:sz w:val="26"/>
                <w:szCs w:val="26"/>
              </w:rPr>
            </w:pPr>
            <w:r w:rsidRPr="002563E3">
              <w:rPr>
                <w:sz w:val="26"/>
                <w:szCs w:val="26"/>
              </w:rPr>
              <w:lastRenderedPageBreak/>
              <w:t>- Nếu kết quả kiểm tra phương tiện đạt, Đăng kiểm viên hẹn trong 01 ngày làm việc đối với kiểm tra phương tiện cách trụ sở làm việc dưới 70 km hoặc 02 ngày làm việc đối với kiểm tra phương tiện cách trụ sở làm việc từ 70 km trở lên</w:t>
            </w:r>
          </w:p>
        </w:tc>
        <w:tc>
          <w:tcPr>
            <w:tcW w:w="1926" w:type="dxa"/>
            <w:shd w:val="clear" w:color="auto" w:fill="auto"/>
            <w:vAlign w:val="center"/>
          </w:tcPr>
          <w:p w14:paraId="510F17D0"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lastRenderedPageBreak/>
              <w:t>01 ngày làm việc: quãng đường kiểm tra &lt; 70 km</w:t>
            </w:r>
          </w:p>
          <w:p w14:paraId="4B115F47"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02 ngày làm việc: quãng đường kiểm tra ≥ 70 km</w:t>
            </w:r>
          </w:p>
        </w:tc>
      </w:tr>
      <w:tr w:rsidR="00A40AA3" w:rsidRPr="002563E3" w14:paraId="12C9F0C7" w14:textId="77777777" w:rsidTr="008A16B8">
        <w:trPr>
          <w:jc w:val="center"/>
        </w:trPr>
        <w:tc>
          <w:tcPr>
            <w:tcW w:w="851" w:type="dxa"/>
            <w:shd w:val="clear" w:color="auto" w:fill="auto"/>
            <w:vAlign w:val="center"/>
          </w:tcPr>
          <w:p w14:paraId="145E1463" w14:textId="77777777" w:rsidR="00A40AA3" w:rsidRPr="002563E3" w:rsidRDefault="00A40AA3" w:rsidP="008A16B8">
            <w:pPr>
              <w:spacing w:before="60" w:after="60"/>
              <w:jc w:val="center"/>
              <w:rPr>
                <w:rFonts w:eastAsia="Calibri"/>
                <w:b/>
                <w:color w:val="000000"/>
                <w:sz w:val="26"/>
                <w:szCs w:val="26"/>
              </w:rPr>
            </w:pPr>
            <w:r w:rsidRPr="002563E3">
              <w:rPr>
                <w:rFonts w:eastAsia="Calibri"/>
                <w:b/>
                <w:color w:val="000000"/>
                <w:sz w:val="26"/>
                <w:szCs w:val="26"/>
              </w:rPr>
              <w:t>Bước 4</w:t>
            </w:r>
          </w:p>
        </w:tc>
        <w:tc>
          <w:tcPr>
            <w:tcW w:w="1951" w:type="dxa"/>
            <w:shd w:val="clear" w:color="auto" w:fill="auto"/>
            <w:vAlign w:val="center"/>
          </w:tcPr>
          <w:p w14:paraId="7840E2B8" w14:textId="77777777" w:rsidR="00A40AA3" w:rsidRPr="002563E3" w:rsidRDefault="00A40AA3" w:rsidP="008A16B8">
            <w:pPr>
              <w:spacing w:before="60" w:after="60"/>
              <w:jc w:val="center"/>
              <w:rPr>
                <w:rFonts w:eastAsia="Calibri"/>
                <w:color w:val="000000"/>
                <w:sz w:val="26"/>
                <w:szCs w:val="26"/>
              </w:rPr>
            </w:pPr>
            <w:r w:rsidRPr="002563E3">
              <w:rPr>
                <w:rFonts w:eastAsia="Calibri"/>
                <w:b/>
                <w:color w:val="000000"/>
                <w:sz w:val="26"/>
                <w:szCs w:val="26"/>
                <w:lang w:val="nl-NL"/>
              </w:rPr>
              <w:t>Trả kết quả giải quyết thủ tục hành chính</w:t>
            </w:r>
          </w:p>
        </w:tc>
        <w:tc>
          <w:tcPr>
            <w:tcW w:w="5829" w:type="dxa"/>
            <w:shd w:val="clear" w:color="auto" w:fill="auto"/>
            <w:vAlign w:val="center"/>
          </w:tcPr>
          <w:p w14:paraId="6C4694FE" w14:textId="77777777" w:rsidR="00A40AA3" w:rsidRPr="002563E3" w:rsidRDefault="00A40AA3" w:rsidP="008A16B8">
            <w:pPr>
              <w:spacing w:before="60" w:after="60"/>
              <w:ind w:firstLine="101"/>
              <w:jc w:val="both"/>
              <w:rPr>
                <w:rFonts w:eastAsia="Calibri"/>
                <w:iCs/>
                <w:color w:val="000000"/>
                <w:sz w:val="26"/>
                <w:szCs w:val="26"/>
              </w:rPr>
            </w:pPr>
            <w:r w:rsidRPr="002563E3">
              <w:rPr>
                <w:sz w:val="26"/>
                <w:szCs w:val="26"/>
              </w:rPr>
              <w:t>Đăng kiểm viên hoàn thiện hồ sơ, in Biên bản kiểm tra, Giấy chứng nhận, Tem kiểm định, chuyển Ban Giám đốc kiểm tra, ký duyệt. Giao hồ sơ đến Bộ phận tiếp nhận hồ sơ và trả kết quả.</w:t>
            </w:r>
            <w:r w:rsidRPr="002563E3">
              <w:rPr>
                <w:rFonts w:eastAsia="Calibri"/>
                <w:iCs/>
                <w:color w:val="000000"/>
                <w:sz w:val="26"/>
                <w:szCs w:val="26"/>
              </w:rPr>
              <w:t xml:space="preserve"> </w:t>
            </w:r>
          </w:p>
          <w:p w14:paraId="6ACEC0B1" w14:textId="77777777" w:rsidR="00A40AA3" w:rsidRPr="002563E3" w:rsidRDefault="00A40AA3" w:rsidP="008A16B8">
            <w:pPr>
              <w:spacing w:before="60" w:after="60"/>
              <w:ind w:firstLine="101"/>
              <w:jc w:val="both"/>
              <w:rPr>
                <w:rFonts w:eastAsia="Calibri"/>
                <w:iCs/>
                <w:color w:val="000000"/>
                <w:sz w:val="26"/>
                <w:szCs w:val="26"/>
              </w:rPr>
            </w:pPr>
            <w:r w:rsidRPr="002563E3">
              <w:rPr>
                <w:rFonts w:eastAsia="Calibri"/>
                <w:iCs/>
                <w:color w:val="000000"/>
                <w:sz w:val="26"/>
                <w:szCs w:val="26"/>
              </w:rPr>
              <w:t>Nhân viên nghiệp vụ được phân công thu lệ phí, in Hóa đơn kiểm định, đóng dấu, phô tô lưu trữ, ghi chép vào sổ kiểm soát và trả kết quả cho khách hàng.</w:t>
            </w:r>
          </w:p>
          <w:p w14:paraId="18C34036" w14:textId="77777777" w:rsidR="00A40AA3" w:rsidRPr="002563E3" w:rsidRDefault="00A40AA3" w:rsidP="008A16B8">
            <w:pPr>
              <w:spacing w:before="60" w:after="60"/>
              <w:ind w:firstLine="101"/>
              <w:jc w:val="both"/>
              <w:rPr>
                <w:rFonts w:eastAsia="Calibri"/>
                <w:iCs/>
                <w:color w:val="000000"/>
                <w:sz w:val="26"/>
                <w:szCs w:val="26"/>
              </w:rPr>
            </w:pPr>
            <w:r w:rsidRPr="002563E3">
              <w:rPr>
                <w:rFonts w:eastAsia="Calibri"/>
                <w:iCs/>
                <w:color w:val="000000"/>
                <w:sz w:val="26"/>
                <w:szCs w:val="26"/>
              </w:rPr>
              <w:t>Giao Tem kiểm định, tấm nhôm có số kiểm soát để đăng kiểm viên đóng trực tiếp lên phương tiện thủy nội địa.</w:t>
            </w:r>
          </w:p>
          <w:p w14:paraId="15831F7A" w14:textId="77777777" w:rsidR="00A40AA3" w:rsidRPr="002563E3" w:rsidRDefault="00A40AA3" w:rsidP="008A16B8">
            <w:pPr>
              <w:spacing w:before="60" w:after="60"/>
              <w:ind w:firstLine="101"/>
              <w:jc w:val="both"/>
              <w:rPr>
                <w:rFonts w:eastAsia="Calibri"/>
                <w:i/>
                <w:iCs/>
                <w:color w:val="000000"/>
                <w:sz w:val="26"/>
                <w:szCs w:val="26"/>
              </w:rPr>
            </w:pPr>
            <w:r w:rsidRPr="002563E3">
              <w:rPr>
                <w:rFonts w:eastAsia="Calibri"/>
                <w:i/>
                <w:iCs/>
                <w:color w:val="000000"/>
                <w:sz w:val="26"/>
                <w:szCs w:val="26"/>
              </w:rPr>
              <w:t>Khách hàng nộp phí, lệ phí kiểm định trực tiếp, qua hệ thống bưu chính hoặc chuyển vào tài khoản của Trung tâm.</w:t>
            </w:r>
          </w:p>
        </w:tc>
        <w:tc>
          <w:tcPr>
            <w:tcW w:w="1926" w:type="dxa"/>
            <w:shd w:val="clear" w:color="auto" w:fill="auto"/>
            <w:vAlign w:val="center"/>
          </w:tcPr>
          <w:p w14:paraId="625B4636"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Buổi sáng từ 07 giờ đến 11 giờ 30 phút</w:t>
            </w:r>
          </w:p>
          <w:p w14:paraId="62A17CFA"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Buổi chiều từ 13 giờ 30 đến 17 giờ</w:t>
            </w:r>
          </w:p>
          <w:p w14:paraId="68446A38" w14:textId="77777777" w:rsidR="00A40AA3" w:rsidRPr="002563E3" w:rsidRDefault="00A40AA3" w:rsidP="008A16B8">
            <w:pPr>
              <w:spacing w:before="60" w:after="60"/>
              <w:ind w:firstLine="84"/>
              <w:jc w:val="both"/>
              <w:rPr>
                <w:rFonts w:eastAsia="Calibri"/>
                <w:color w:val="000000"/>
                <w:sz w:val="26"/>
                <w:szCs w:val="26"/>
              </w:rPr>
            </w:pPr>
            <w:r w:rsidRPr="002563E3">
              <w:rPr>
                <w:rFonts w:eastAsia="Calibri"/>
                <w:color w:val="000000"/>
                <w:sz w:val="26"/>
                <w:szCs w:val="26"/>
              </w:rPr>
              <w:t>Thứ 2 – thứ 6: làm việc buổi sáng + buổi chiều</w:t>
            </w:r>
          </w:p>
          <w:p w14:paraId="23ABD9A9" w14:textId="77777777" w:rsidR="00A40AA3" w:rsidRPr="002563E3" w:rsidRDefault="00A40AA3" w:rsidP="008A16B8">
            <w:pPr>
              <w:spacing w:after="120" w:line="234" w:lineRule="atLeast"/>
              <w:ind w:firstLine="34"/>
              <w:jc w:val="both"/>
              <w:rPr>
                <w:rFonts w:eastAsia="Calibri"/>
                <w:bCs/>
                <w:i/>
                <w:color w:val="000000"/>
                <w:sz w:val="26"/>
                <w:szCs w:val="26"/>
              </w:rPr>
            </w:pPr>
            <w:r w:rsidRPr="002563E3">
              <w:rPr>
                <w:rFonts w:eastAsia="Calibri"/>
                <w:color w:val="000000"/>
                <w:sz w:val="26"/>
                <w:szCs w:val="26"/>
              </w:rPr>
              <w:t>Thứ 7 làm việc buổi sáng</w:t>
            </w:r>
          </w:p>
        </w:tc>
      </w:tr>
    </w:tbl>
    <w:p w14:paraId="6826C799" w14:textId="77777777" w:rsidR="00A40AA3" w:rsidRPr="002563E3" w:rsidRDefault="00A40AA3" w:rsidP="00A40AA3">
      <w:pPr>
        <w:widowControl w:val="0"/>
        <w:spacing w:before="120"/>
        <w:ind w:firstLine="709"/>
        <w:jc w:val="both"/>
        <w:rPr>
          <w:b/>
          <w:color w:val="000000"/>
          <w:sz w:val="26"/>
          <w:szCs w:val="26"/>
        </w:rPr>
      </w:pPr>
      <w:r w:rsidRPr="002563E3">
        <w:rPr>
          <w:b/>
          <w:bCs/>
          <w:color w:val="000000"/>
          <w:sz w:val="26"/>
          <w:szCs w:val="26"/>
        </w:rPr>
        <w:t>2.</w:t>
      </w:r>
      <w:r w:rsidRPr="002563E3">
        <w:rPr>
          <w:b/>
          <w:color w:val="000000"/>
          <w:sz w:val="26"/>
          <w:szCs w:val="26"/>
        </w:rPr>
        <w:t>2 Thành phần, số lượng hồ sơ:</w:t>
      </w:r>
    </w:p>
    <w:p w14:paraId="32C43976" w14:textId="77777777" w:rsidR="00A40AA3" w:rsidRPr="002563E3" w:rsidRDefault="00A40AA3" w:rsidP="00A40AA3">
      <w:pPr>
        <w:widowControl w:val="0"/>
        <w:spacing w:before="120"/>
        <w:ind w:firstLine="709"/>
        <w:jc w:val="both"/>
        <w:rPr>
          <w:b/>
          <w:color w:val="000000"/>
          <w:sz w:val="26"/>
          <w:szCs w:val="26"/>
        </w:rPr>
      </w:pPr>
      <w:r w:rsidRPr="002563E3">
        <w:rPr>
          <w:b/>
          <w:color w:val="000000"/>
          <w:sz w:val="26"/>
          <w:szCs w:val="26"/>
        </w:rPr>
        <w:t>a) Thành phần hồ sơ:</w:t>
      </w:r>
    </w:p>
    <w:p w14:paraId="2CDD2787" w14:textId="77777777" w:rsidR="00A40AA3" w:rsidRPr="002563E3" w:rsidRDefault="00A40AA3" w:rsidP="00A40AA3">
      <w:pPr>
        <w:spacing w:before="120"/>
        <w:ind w:firstLine="709"/>
        <w:jc w:val="both"/>
        <w:rPr>
          <w:color w:val="000000"/>
          <w:sz w:val="26"/>
          <w:szCs w:val="26"/>
        </w:rPr>
      </w:pPr>
      <w:r w:rsidRPr="002563E3">
        <w:rPr>
          <w:color w:val="000000"/>
          <w:sz w:val="26"/>
          <w:szCs w:val="26"/>
        </w:rPr>
        <w:t>- Giấy đề nghị kiểm tra phương tiện (bản chính); Trường hợp đề nghị trực tiếp, gọi điện thoại thì không phải nộp Giấy đề nghị kiểm tra phương tiện;</w:t>
      </w:r>
    </w:p>
    <w:p w14:paraId="3B4240B5" w14:textId="77777777" w:rsidR="00A40AA3" w:rsidRPr="002563E3" w:rsidRDefault="00A40AA3" w:rsidP="00A40AA3">
      <w:pPr>
        <w:spacing w:before="120"/>
        <w:ind w:firstLine="709"/>
        <w:jc w:val="both"/>
        <w:rPr>
          <w:color w:val="000000"/>
          <w:sz w:val="26"/>
          <w:szCs w:val="26"/>
        </w:rPr>
      </w:pPr>
      <w:r w:rsidRPr="002563E3">
        <w:rPr>
          <w:color w:val="000000"/>
          <w:sz w:val="26"/>
          <w:szCs w:val="26"/>
        </w:rPr>
        <w:t>- Hồ sơ kiểm tra kỹ thuật phương tiện (bản chính):</w:t>
      </w:r>
    </w:p>
    <w:p w14:paraId="77B93159" w14:textId="77777777" w:rsidR="00A40AA3" w:rsidRPr="002563E3" w:rsidRDefault="00A40AA3" w:rsidP="00A40AA3">
      <w:pPr>
        <w:spacing w:before="120"/>
        <w:ind w:firstLine="709"/>
        <w:jc w:val="both"/>
        <w:rPr>
          <w:color w:val="000000"/>
          <w:sz w:val="26"/>
          <w:szCs w:val="26"/>
        </w:rPr>
      </w:pPr>
      <w:r w:rsidRPr="002563E3">
        <w:rPr>
          <w:color w:val="000000"/>
          <w:sz w:val="26"/>
          <w:szCs w:val="26"/>
        </w:rPr>
        <w:t>+ Đối với phương tiện đóng mới, hoán cải, sửa chữa, phục hồi hoặc phương tiện đã đóng mà không có sự giám sát của đăng kiểm thì trình bản gốc hồ sơ thiết kế đã được thẩm định;</w:t>
      </w:r>
    </w:p>
    <w:p w14:paraId="16A71C1F" w14:textId="77777777" w:rsidR="00A40AA3" w:rsidRPr="002563E3" w:rsidRDefault="00A40AA3" w:rsidP="00A40AA3">
      <w:pPr>
        <w:spacing w:before="120"/>
        <w:ind w:firstLine="709"/>
        <w:jc w:val="both"/>
        <w:rPr>
          <w:color w:val="000000"/>
          <w:sz w:val="26"/>
          <w:szCs w:val="26"/>
        </w:rPr>
      </w:pPr>
      <w:r w:rsidRPr="002563E3">
        <w:rPr>
          <w:color w:val="000000"/>
          <w:sz w:val="26"/>
          <w:szCs w:val="26"/>
        </w:rPr>
        <w:t>+ Đối với phương tiện đang khai thác thì trình bản gốc Giấy Chứng nhận ATKT &amp; BVMT PTTNĐ đã được cấp. Trường hợp mất Giấy chứng nhận ATKT &amp; BVMT PTTNĐ phải có đơn cớ mất, đồng thời có xác nhận của Phòng Cảnh sát đường thủy địa phương không tạm giữ hồ sơ của phương tiện.</w:t>
      </w:r>
    </w:p>
    <w:p w14:paraId="23EE7D3F" w14:textId="77777777" w:rsidR="00A40AA3" w:rsidRPr="002563E3" w:rsidRDefault="00A40AA3" w:rsidP="00A40AA3">
      <w:pPr>
        <w:spacing w:before="120"/>
        <w:ind w:firstLine="709"/>
        <w:jc w:val="both"/>
        <w:rPr>
          <w:color w:val="000000"/>
          <w:sz w:val="26"/>
          <w:szCs w:val="26"/>
        </w:rPr>
      </w:pPr>
      <w:r w:rsidRPr="002563E3">
        <w:rPr>
          <w:b/>
          <w:color w:val="000000"/>
          <w:sz w:val="26"/>
          <w:szCs w:val="26"/>
        </w:rPr>
        <w:tab/>
        <w:t>b) Số lượng hồ sơ:</w:t>
      </w:r>
      <w:r w:rsidRPr="002563E3">
        <w:rPr>
          <w:color w:val="000000"/>
          <w:sz w:val="26"/>
          <w:szCs w:val="26"/>
        </w:rPr>
        <w:t xml:space="preserve"> 01 bộ.</w:t>
      </w:r>
    </w:p>
    <w:p w14:paraId="0F47A545" w14:textId="77777777" w:rsidR="00A40AA3" w:rsidRPr="002563E3" w:rsidRDefault="00A40AA3" w:rsidP="00A40AA3">
      <w:pPr>
        <w:widowControl w:val="0"/>
        <w:spacing w:before="120"/>
        <w:ind w:firstLine="709"/>
        <w:jc w:val="both"/>
        <w:rPr>
          <w:color w:val="000000"/>
          <w:sz w:val="26"/>
          <w:szCs w:val="26"/>
        </w:rPr>
      </w:pPr>
      <w:r w:rsidRPr="002563E3">
        <w:rPr>
          <w:b/>
          <w:bCs/>
          <w:color w:val="000000"/>
          <w:sz w:val="26"/>
          <w:szCs w:val="26"/>
        </w:rPr>
        <w:t>2.</w:t>
      </w:r>
      <w:r w:rsidRPr="002563E3">
        <w:rPr>
          <w:b/>
          <w:color w:val="000000"/>
          <w:sz w:val="26"/>
          <w:szCs w:val="26"/>
        </w:rPr>
        <w:t>3 Cơ quan thực hiện:</w:t>
      </w:r>
      <w:r w:rsidRPr="002563E3">
        <w:rPr>
          <w:color w:val="000000"/>
          <w:sz w:val="26"/>
          <w:szCs w:val="26"/>
        </w:rPr>
        <w:t xml:space="preserve"> </w:t>
      </w:r>
    </w:p>
    <w:p w14:paraId="4A9BF134" w14:textId="77777777" w:rsidR="00A40AA3" w:rsidRPr="002563E3" w:rsidRDefault="00A40AA3" w:rsidP="00A40AA3">
      <w:pPr>
        <w:widowControl w:val="0"/>
        <w:spacing w:before="120"/>
        <w:ind w:firstLine="709"/>
        <w:jc w:val="both"/>
        <w:rPr>
          <w:color w:val="000000"/>
          <w:sz w:val="26"/>
          <w:szCs w:val="26"/>
        </w:rPr>
      </w:pPr>
      <w:r w:rsidRPr="002563E3">
        <w:rPr>
          <w:color w:val="000000"/>
          <w:sz w:val="26"/>
          <w:szCs w:val="26"/>
        </w:rPr>
        <w:t>Trung tâm Đăng kiểm phương tiện cơ giới thủy, bộ</w:t>
      </w:r>
    </w:p>
    <w:p w14:paraId="5B812703" w14:textId="77777777" w:rsidR="00A40AA3" w:rsidRPr="002563E3" w:rsidRDefault="00A40AA3" w:rsidP="00A40AA3">
      <w:pPr>
        <w:widowControl w:val="0"/>
        <w:spacing w:before="120"/>
        <w:ind w:firstLine="709"/>
        <w:jc w:val="both"/>
        <w:rPr>
          <w:color w:val="000000"/>
          <w:sz w:val="26"/>
          <w:szCs w:val="26"/>
        </w:rPr>
      </w:pPr>
      <w:r w:rsidRPr="002563E3">
        <w:rPr>
          <w:b/>
          <w:bCs/>
          <w:color w:val="000000"/>
          <w:sz w:val="26"/>
          <w:szCs w:val="26"/>
        </w:rPr>
        <w:t>2.</w:t>
      </w:r>
      <w:r w:rsidRPr="002563E3">
        <w:rPr>
          <w:b/>
          <w:color w:val="000000"/>
          <w:sz w:val="26"/>
          <w:szCs w:val="26"/>
        </w:rPr>
        <w:t>4 Đối tượng thực hiện thủ tục hành chính</w:t>
      </w:r>
      <w:r w:rsidRPr="002563E3">
        <w:rPr>
          <w:color w:val="000000"/>
          <w:sz w:val="26"/>
          <w:szCs w:val="26"/>
        </w:rPr>
        <w:t>: Cá nhân, tổ chức.</w:t>
      </w:r>
    </w:p>
    <w:p w14:paraId="04C2971A" w14:textId="77777777" w:rsidR="00A40AA3" w:rsidRPr="002563E3" w:rsidRDefault="00A40AA3" w:rsidP="00A40AA3">
      <w:pPr>
        <w:widowControl w:val="0"/>
        <w:spacing w:before="120"/>
        <w:ind w:firstLine="709"/>
        <w:jc w:val="both"/>
        <w:rPr>
          <w:color w:val="000000"/>
          <w:sz w:val="26"/>
          <w:szCs w:val="26"/>
        </w:rPr>
      </w:pPr>
      <w:r w:rsidRPr="002563E3">
        <w:rPr>
          <w:b/>
          <w:bCs/>
          <w:color w:val="000000"/>
          <w:sz w:val="26"/>
          <w:szCs w:val="26"/>
        </w:rPr>
        <w:t>2.</w:t>
      </w:r>
      <w:r w:rsidRPr="002563E3">
        <w:rPr>
          <w:b/>
          <w:color w:val="000000"/>
          <w:sz w:val="26"/>
          <w:szCs w:val="26"/>
        </w:rPr>
        <w:t>5 Kết quả thực hiện thủ tục hành chính</w:t>
      </w:r>
      <w:r w:rsidRPr="002563E3">
        <w:rPr>
          <w:color w:val="000000"/>
          <w:sz w:val="26"/>
          <w:szCs w:val="26"/>
        </w:rPr>
        <w:t xml:space="preserve">: </w:t>
      </w:r>
    </w:p>
    <w:p w14:paraId="382B8156" w14:textId="77777777" w:rsidR="00A40AA3" w:rsidRPr="002563E3" w:rsidRDefault="00A40AA3" w:rsidP="00A40AA3">
      <w:pPr>
        <w:widowControl w:val="0"/>
        <w:spacing w:before="120"/>
        <w:ind w:firstLine="709"/>
        <w:jc w:val="both"/>
        <w:rPr>
          <w:color w:val="000000"/>
          <w:sz w:val="26"/>
          <w:szCs w:val="26"/>
        </w:rPr>
      </w:pPr>
      <w:r w:rsidRPr="002563E3">
        <w:rPr>
          <w:color w:val="000000"/>
          <w:sz w:val="26"/>
          <w:szCs w:val="26"/>
        </w:rPr>
        <w:lastRenderedPageBreak/>
        <w:t>Tem kiểm định, Giấy chứng nhận An toàn kỹ thuật và Bảo vệ môi trường phương tiện thủy nội địa.</w:t>
      </w:r>
    </w:p>
    <w:p w14:paraId="780D7F41" w14:textId="77777777" w:rsidR="00A40AA3" w:rsidRPr="002563E3" w:rsidRDefault="00A40AA3" w:rsidP="00A40AA3">
      <w:pPr>
        <w:widowControl w:val="0"/>
        <w:spacing w:before="120"/>
        <w:ind w:firstLine="709"/>
        <w:jc w:val="both"/>
        <w:rPr>
          <w:b/>
          <w:sz w:val="26"/>
          <w:szCs w:val="26"/>
        </w:rPr>
      </w:pPr>
      <w:r w:rsidRPr="002563E3">
        <w:rPr>
          <w:b/>
          <w:bCs/>
          <w:color w:val="000000"/>
          <w:sz w:val="26"/>
          <w:szCs w:val="26"/>
        </w:rPr>
        <w:t xml:space="preserve">2.6 </w:t>
      </w:r>
      <w:r>
        <w:rPr>
          <w:b/>
          <w:sz w:val="26"/>
          <w:szCs w:val="26"/>
        </w:rPr>
        <w:t>Giá dịch vụ</w:t>
      </w:r>
      <w:r w:rsidRPr="002563E3">
        <w:rPr>
          <w:b/>
          <w:sz w:val="26"/>
          <w:szCs w:val="26"/>
        </w:rPr>
        <w:t xml:space="preserve"> kiểm định ATKT và BVMT đối với xe cơ giới</w:t>
      </w:r>
    </w:p>
    <w:p w14:paraId="38D7D79A" w14:textId="77777777" w:rsidR="00A40AA3" w:rsidRPr="002563E3" w:rsidRDefault="00A40AA3" w:rsidP="00A40AA3">
      <w:pPr>
        <w:widowControl w:val="0"/>
        <w:spacing w:before="120"/>
        <w:ind w:firstLine="709"/>
        <w:jc w:val="both"/>
        <w:rPr>
          <w:sz w:val="26"/>
          <w:szCs w:val="26"/>
        </w:rPr>
      </w:pPr>
      <w:r>
        <w:rPr>
          <w:sz w:val="26"/>
          <w:szCs w:val="26"/>
        </w:rPr>
        <w:t>Mức th</w:t>
      </w:r>
      <w:r w:rsidRPr="002563E3">
        <w:rPr>
          <w:sz w:val="26"/>
          <w:szCs w:val="26"/>
        </w:rPr>
        <w:t>u các loại dịch vụ về kiểm định ATKT và BVMT phương tiện thủy nội địa theo Thông tư 237/2016/TT-BTC ngày 11/11/2016.</w:t>
      </w:r>
    </w:p>
    <w:p w14:paraId="4B76F381" w14:textId="77777777" w:rsidR="00A40AA3" w:rsidRPr="002563E3" w:rsidRDefault="00A40AA3" w:rsidP="00A40AA3">
      <w:pPr>
        <w:widowControl w:val="0"/>
        <w:spacing w:before="120"/>
        <w:ind w:firstLine="709"/>
        <w:jc w:val="both"/>
        <w:rPr>
          <w:color w:val="000000"/>
          <w:sz w:val="26"/>
          <w:szCs w:val="26"/>
        </w:rPr>
      </w:pPr>
      <w:r w:rsidRPr="002563E3">
        <w:rPr>
          <w:b/>
          <w:bCs/>
          <w:color w:val="000000"/>
          <w:sz w:val="26"/>
          <w:szCs w:val="26"/>
        </w:rPr>
        <w:t>2.7</w:t>
      </w:r>
      <w:r w:rsidRPr="002563E3">
        <w:rPr>
          <w:b/>
          <w:color w:val="000000"/>
          <w:sz w:val="26"/>
          <w:szCs w:val="26"/>
        </w:rPr>
        <w:t xml:space="preserve"> Lệ phí</w:t>
      </w:r>
      <w:r>
        <w:rPr>
          <w:b/>
          <w:color w:val="000000"/>
          <w:sz w:val="26"/>
          <w:szCs w:val="26"/>
        </w:rPr>
        <w:t xml:space="preserve"> Giấy chứng nhận và Tem kiểm định</w:t>
      </w:r>
      <w:r w:rsidRPr="002563E3">
        <w:rPr>
          <w:b/>
          <w:color w:val="000000"/>
          <w:sz w:val="26"/>
          <w:szCs w:val="26"/>
        </w:rPr>
        <w:t>:</w:t>
      </w:r>
      <w:r w:rsidRPr="002563E3">
        <w:rPr>
          <w:color w:val="000000"/>
          <w:sz w:val="26"/>
          <w:szCs w:val="26"/>
        </w:rPr>
        <w:t xml:space="preserve"> </w:t>
      </w:r>
    </w:p>
    <w:p w14:paraId="2D687D6C" w14:textId="77777777" w:rsidR="00A40AA3" w:rsidRPr="005A2E72" w:rsidRDefault="00A40AA3" w:rsidP="00A40AA3">
      <w:pPr>
        <w:widowControl w:val="0"/>
        <w:spacing w:before="120"/>
        <w:ind w:firstLine="709"/>
        <w:jc w:val="both"/>
        <w:rPr>
          <w:color w:val="000000"/>
          <w:sz w:val="26"/>
          <w:szCs w:val="26"/>
        </w:rPr>
      </w:pPr>
      <w:r>
        <w:rPr>
          <w:color w:val="000000"/>
          <w:sz w:val="26"/>
          <w:szCs w:val="26"/>
        </w:rPr>
        <w:t xml:space="preserve">- Mức thu: </w:t>
      </w:r>
      <w:r w:rsidRPr="002563E3">
        <w:rPr>
          <w:color w:val="000000"/>
          <w:sz w:val="26"/>
          <w:szCs w:val="26"/>
        </w:rPr>
        <w:t>50.000 đồng</w:t>
      </w:r>
      <w:r>
        <w:rPr>
          <w:color w:val="000000"/>
          <w:sz w:val="26"/>
          <w:szCs w:val="26"/>
        </w:rPr>
        <w:t>/ lần</w:t>
      </w:r>
    </w:p>
    <w:p w14:paraId="1CA05EBF" w14:textId="77777777" w:rsidR="00A40AA3" w:rsidRPr="002563E3" w:rsidRDefault="00A40AA3" w:rsidP="00A40AA3">
      <w:pPr>
        <w:widowControl w:val="0"/>
        <w:spacing w:before="120"/>
        <w:ind w:firstLine="709"/>
        <w:jc w:val="both"/>
        <w:rPr>
          <w:color w:val="000000"/>
          <w:sz w:val="26"/>
          <w:szCs w:val="26"/>
        </w:rPr>
      </w:pPr>
      <w:r w:rsidRPr="002563E3">
        <w:rPr>
          <w:b/>
          <w:bCs/>
          <w:color w:val="000000"/>
          <w:sz w:val="26"/>
          <w:szCs w:val="26"/>
        </w:rPr>
        <w:t>2.8</w:t>
      </w:r>
      <w:r w:rsidRPr="002563E3">
        <w:rPr>
          <w:b/>
          <w:color w:val="000000"/>
          <w:sz w:val="26"/>
          <w:szCs w:val="26"/>
        </w:rPr>
        <w:t xml:space="preserve"> Tên mẫu đơn, mẫu tờ khai:</w:t>
      </w:r>
    </w:p>
    <w:p w14:paraId="4F5F75F1" w14:textId="77777777" w:rsidR="00A40AA3" w:rsidRPr="002563E3" w:rsidRDefault="00A40AA3" w:rsidP="00A40AA3">
      <w:pPr>
        <w:spacing w:before="120"/>
        <w:ind w:firstLine="720"/>
        <w:jc w:val="both"/>
        <w:rPr>
          <w:sz w:val="26"/>
          <w:szCs w:val="26"/>
        </w:rPr>
      </w:pPr>
      <w:r w:rsidRPr="002563E3">
        <w:rPr>
          <w:sz w:val="26"/>
          <w:szCs w:val="26"/>
        </w:rPr>
        <w:t>Giấy đề nghị kiểm tra</w:t>
      </w:r>
    </w:p>
    <w:p w14:paraId="1C3C6D01" w14:textId="77777777" w:rsidR="00A40AA3" w:rsidRPr="002563E3" w:rsidRDefault="00A40AA3" w:rsidP="00A40AA3">
      <w:pPr>
        <w:widowControl w:val="0"/>
        <w:spacing w:before="120"/>
        <w:jc w:val="both"/>
        <w:rPr>
          <w:b/>
          <w:bCs/>
          <w:color w:val="000000"/>
          <w:sz w:val="26"/>
          <w:szCs w:val="26"/>
        </w:rPr>
      </w:pPr>
      <w:r w:rsidRPr="002563E3">
        <w:rPr>
          <w:sz w:val="26"/>
          <w:szCs w:val="26"/>
        </w:rPr>
        <w:object w:dxaOrig="1551" w:dyaOrig="1004" w14:anchorId="1E5DB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50.9pt" o:ole="">
            <v:imagedata r:id="rId4" o:title=""/>
          </v:shape>
          <o:OLEObject Type="Embed" ProgID="FoxitReader.Document" ShapeID="_x0000_i1025" DrawAspect="Icon" ObjectID="_1761568623" r:id="rId5"/>
        </w:object>
      </w:r>
    </w:p>
    <w:p w14:paraId="552E79A8" w14:textId="77777777" w:rsidR="00A40AA3" w:rsidRPr="002563E3" w:rsidRDefault="00A40AA3" w:rsidP="00A40AA3">
      <w:pPr>
        <w:widowControl w:val="0"/>
        <w:spacing w:before="120"/>
        <w:ind w:firstLine="709"/>
        <w:jc w:val="both"/>
        <w:rPr>
          <w:b/>
          <w:color w:val="000000"/>
          <w:sz w:val="26"/>
          <w:szCs w:val="26"/>
        </w:rPr>
      </w:pPr>
      <w:r w:rsidRPr="002563E3">
        <w:rPr>
          <w:b/>
          <w:bCs/>
          <w:color w:val="000000"/>
          <w:sz w:val="26"/>
          <w:szCs w:val="26"/>
        </w:rPr>
        <w:t>2.9</w:t>
      </w:r>
      <w:r w:rsidRPr="002563E3">
        <w:rPr>
          <w:b/>
          <w:color w:val="000000"/>
          <w:sz w:val="26"/>
          <w:szCs w:val="26"/>
        </w:rPr>
        <w:t xml:space="preserve"> Yêu cầu, điều kiện thực hiện thủ tục: </w:t>
      </w:r>
    </w:p>
    <w:p w14:paraId="72FE0802" w14:textId="77777777" w:rsidR="00A40AA3" w:rsidRPr="002563E3" w:rsidRDefault="00A40AA3" w:rsidP="00A40AA3">
      <w:pPr>
        <w:spacing w:before="120"/>
        <w:ind w:firstLine="709"/>
        <w:jc w:val="both"/>
        <w:rPr>
          <w:b/>
          <w:sz w:val="26"/>
          <w:szCs w:val="26"/>
        </w:rPr>
      </w:pPr>
      <w:r w:rsidRPr="002563E3">
        <w:rPr>
          <w:b/>
          <w:bCs/>
          <w:sz w:val="26"/>
          <w:szCs w:val="26"/>
        </w:rPr>
        <w:t>2.10</w:t>
      </w:r>
      <w:r w:rsidRPr="002563E3">
        <w:rPr>
          <w:b/>
          <w:sz w:val="26"/>
          <w:szCs w:val="26"/>
        </w:rPr>
        <w:t xml:space="preserve"> Căn cứ pháp lý của thủ tục hành chính: </w:t>
      </w:r>
    </w:p>
    <w:p w14:paraId="168616BC" w14:textId="77777777" w:rsidR="00A40AA3" w:rsidRPr="002563E3" w:rsidRDefault="00A40AA3" w:rsidP="00A40AA3">
      <w:pPr>
        <w:widowControl w:val="0"/>
        <w:tabs>
          <w:tab w:val="left" w:pos="2160"/>
        </w:tabs>
        <w:autoSpaceDE w:val="0"/>
        <w:autoSpaceDN w:val="0"/>
        <w:adjustRightInd w:val="0"/>
        <w:spacing w:before="120"/>
        <w:ind w:firstLine="720"/>
        <w:jc w:val="both"/>
        <w:rPr>
          <w:sz w:val="26"/>
          <w:szCs w:val="26"/>
        </w:rPr>
      </w:pPr>
      <w:r w:rsidRPr="002563E3">
        <w:rPr>
          <w:sz w:val="26"/>
          <w:szCs w:val="26"/>
        </w:rPr>
        <w:t xml:space="preserve">- Luật đường thuỷ nội địa số: </w:t>
      </w:r>
      <w:hyperlink r:id="rId6" w:history="1">
        <w:r w:rsidRPr="002563E3">
          <w:rPr>
            <w:color w:val="0000FF"/>
            <w:sz w:val="26"/>
            <w:szCs w:val="26"/>
            <w:u w:val="single"/>
          </w:rPr>
          <w:t>23/2004/QH11</w:t>
        </w:r>
      </w:hyperlink>
      <w:r w:rsidRPr="002563E3">
        <w:rPr>
          <w:sz w:val="26"/>
          <w:szCs w:val="26"/>
        </w:rPr>
        <w:t xml:space="preserve"> Ngày ban hành: 15/06/2004 Ngày có hiệu lực: 01/01/2005.</w:t>
      </w:r>
    </w:p>
    <w:p w14:paraId="3122F441" w14:textId="77777777" w:rsidR="00A40AA3" w:rsidRPr="002563E3" w:rsidRDefault="00A40AA3" w:rsidP="00A40AA3">
      <w:pPr>
        <w:widowControl w:val="0"/>
        <w:tabs>
          <w:tab w:val="left" w:pos="2160"/>
        </w:tabs>
        <w:autoSpaceDE w:val="0"/>
        <w:autoSpaceDN w:val="0"/>
        <w:adjustRightInd w:val="0"/>
        <w:spacing w:before="120"/>
        <w:ind w:firstLine="720"/>
        <w:jc w:val="both"/>
        <w:rPr>
          <w:sz w:val="26"/>
          <w:szCs w:val="26"/>
        </w:rPr>
      </w:pPr>
      <w:r w:rsidRPr="002563E3">
        <w:rPr>
          <w:sz w:val="26"/>
          <w:szCs w:val="26"/>
        </w:rPr>
        <w:t xml:space="preserve">- Luật bảo vệ môi trường số: </w:t>
      </w:r>
      <w:hyperlink r:id="rId7" w:history="1">
        <w:r w:rsidRPr="002563E3">
          <w:rPr>
            <w:color w:val="0000FF"/>
            <w:sz w:val="26"/>
            <w:szCs w:val="26"/>
            <w:u w:val="single"/>
          </w:rPr>
          <w:t>52/2005/QH11</w:t>
        </w:r>
      </w:hyperlink>
      <w:r w:rsidRPr="002563E3">
        <w:rPr>
          <w:sz w:val="26"/>
          <w:szCs w:val="26"/>
        </w:rPr>
        <w:t xml:space="preserve"> Ngày ban hành: 29/11/2005 Ngày có hiệu lực: 01/07/2006.</w:t>
      </w:r>
    </w:p>
    <w:p w14:paraId="25011FCE" w14:textId="77777777" w:rsidR="00A40AA3" w:rsidRPr="002563E3" w:rsidRDefault="00A40AA3" w:rsidP="00A40AA3">
      <w:pPr>
        <w:widowControl w:val="0"/>
        <w:tabs>
          <w:tab w:val="left" w:pos="2160"/>
        </w:tabs>
        <w:autoSpaceDE w:val="0"/>
        <w:autoSpaceDN w:val="0"/>
        <w:adjustRightInd w:val="0"/>
        <w:spacing w:before="120"/>
        <w:ind w:firstLine="720"/>
        <w:jc w:val="both"/>
        <w:rPr>
          <w:sz w:val="26"/>
          <w:szCs w:val="26"/>
        </w:rPr>
      </w:pPr>
      <w:r w:rsidRPr="002563E3">
        <w:rPr>
          <w:sz w:val="26"/>
          <w:szCs w:val="26"/>
        </w:rPr>
        <w:t>- Nghị định số 24/2015/NĐ-CP, ngày 27/02/2015 của Chính phủ quy định chi tiết và biện pháp thi hành một số điều của Luật giao thông ĐTNĐ và Luật sửa đổi, bổ sung một số điều của Luật giao thông ĐTNĐ.</w:t>
      </w:r>
    </w:p>
    <w:p w14:paraId="372DF289" w14:textId="77777777" w:rsidR="00A40AA3" w:rsidRPr="002563E3" w:rsidRDefault="00A40AA3" w:rsidP="00A40AA3">
      <w:pPr>
        <w:spacing w:before="120"/>
        <w:ind w:firstLine="720"/>
        <w:jc w:val="both"/>
        <w:rPr>
          <w:sz w:val="26"/>
          <w:szCs w:val="26"/>
        </w:rPr>
      </w:pPr>
      <w:r w:rsidRPr="002563E3">
        <w:rPr>
          <w:sz w:val="26"/>
          <w:szCs w:val="26"/>
        </w:rPr>
        <w:t>- Thông tư số 48/2015/TT-BGTVT ngày 22/9/2015 của Bộ Giao thông vận tải quy định về đăng kiểm phương tiện thủy nội địa.</w:t>
      </w:r>
    </w:p>
    <w:p w14:paraId="78BE3D4B" w14:textId="77777777" w:rsidR="00A40AA3" w:rsidRPr="002563E3" w:rsidRDefault="00A40AA3" w:rsidP="00A40AA3">
      <w:pPr>
        <w:spacing w:before="120"/>
        <w:ind w:firstLine="720"/>
        <w:jc w:val="both"/>
        <w:rPr>
          <w:sz w:val="26"/>
          <w:szCs w:val="26"/>
        </w:rPr>
      </w:pPr>
      <w:r w:rsidRPr="002563E3">
        <w:rPr>
          <w:sz w:val="26"/>
          <w:szCs w:val="26"/>
        </w:rPr>
        <w:t>- Thông tư số 199/2016/TT-BTC ngày 08/11/2016 của Bộ Tài chính quy định mức thu, chế độ thu, nộp, quản lý lệ phí cấp Giấy chứng nhận bảo đảm chất lượng ATKT đối với máy, thiết bị, phương tiện giao thông vận tải có yêu cầu nghiêm ngặt về an toàn.</w:t>
      </w:r>
    </w:p>
    <w:p w14:paraId="35426A0C" w14:textId="77777777" w:rsidR="00A40AA3" w:rsidRPr="002563E3" w:rsidRDefault="00A40AA3" w:rsidP="00A40AA3">
      <w:pPr>
        <w:spacing w:before="120"/>
        <w:ind w:firstLine="709"/>
        <w:jc w:val="both"/>
        <w:rPr>
          <w:sz w:val="26"/>
          <w:szCs w:val="26"/>
        </w:rPr>
      </w:pPr>
      <w:r w:rsidRPr="002563E3">
        <w:rPr>
          <w:sz w:val="26"/>
          <w:szCs w:val="26"/>
        </w:rPr>
        <w:t>- Thông tư số 237/2016/TT-BTC ngày 08/11/2016 của Bộ Tài chính quy định về giá dịch vụ kiểm định ATKT và chất lượng phương tiện thủy nội địa.</w:t>
      </w:r>
    </w:p>
    <w:p w14:paraId="4FEB1551" w14:textId="77777777" w:rsidR="00A40AA3" w:rsidRPr="002563E3" w:rsidRDefault="00A40AA3" w:rsidP="00A40AA3">
      <w:pPr>
        <w:jc w:val="both"/>
        <w:rPr>
          <w:b/>
          <w:szCs w:val="26"/>
        </w:rPr>
      </w:pPr>
    </w:p>
    <w:p w14:paraId="212C70E2"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60"/>
    <w:rsid w:val="0006293D"/>
    <w:rsid w:val="000E3434"/>
    <w:rsid w:val="00977B6A"/>
    <w:rsid w:val="00A40AA3"/>
    <w:rsid w:val="00D756CB"/>
    <w:rsid w:val="00F2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90FED-9476-464F-9E7A-B07A29FD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AA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VANBAN-CHINHQUYEN\CAC%20BAO%20CAO%20CO%20QUAN\BAOCAO-SO%20GTVT\BAO%20CAO\BC%20Thu%20tuc%20hanh%20chinh\VANBAN%20QPPL\Luat%20Bao%20ve%20MT%20so%2052_200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VANBAN-CHINHQUYEN\CAC%20BAO%20CAO%20CO%20QUAN\BAOCAO-SO%20GTVT\BAO%20CAO\BC%20Thu%20tuc%20hanh%20chinh\VANBAN%20QPPL\Luat%20&#208;TN&#208;%2023.2004.QH11.pdf"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2023-11-15T08:48:00Z</dcterms:created>
  <dcterms:modified xsi:type="dcterms:W3CDTF">2023-11-15T08:48:00Z</dcterms:modified>
</cp:coreProperties>
</file>